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AEE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2E62C2"/>
          <w:spacing w:val="0"/>
          <w:sz w:val="36"/>
          <w:szCs w:val="36"/>
          <w:bdr w:val="none" w:color="auto" w:sz="0" w:space="0"/>
          <w:shd w:val="clear" w:fill="FFFFFF"/>
        </w:rPr>
        <w:t>大肠杆菌管式离心机的主要特点及操作规范</w:t>
      </w:r>
    </w:p>
    <w:p w14:paraId="73AF3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</w:t>
      </w: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‌ 大肠杆菌管式离心机是我公司自主研发的新型号(转速可从0--15000 r/min调)、下阻尼采用国内发明技术无需油脂润滑，解决油脂污染物料的重要难题。设备全部使用不锈钢制作，外观精美，噪音低，分离效果好，目前在生物制药行业使用最多的一种设备。其操作规范则涉及多个步骤和注意事项，以确保高效、安全地使用设备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1FF5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大肠杆菌管式离心机主要特点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4723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‌•高分离因数‌：管式离心机是国内现在工业生产离心机中离心力较高的分离设备，适用于需要高离心力分离的任务‌。</w:t>
      </w:r>
    </w:p>
    <w:p w14:paraId="59601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DBBE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‌•适用范围广‌：适用于固相含量小于5%、颗粒直径大于1-2微米的物料；也适用于固液相密度相差较小的悬浮液澄清和乳浊液分离‌。</w:t>
      </w:r>
    </w:p>
    <w:p w14:paraId="157A2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1665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大肠杆菌管式离心机操作规范</w:t>
      </w:r>
    </w:p>
    <w:p w14:paraId="5ED47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CE80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‌1、物料预处理‌：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0F30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‌•稀释与调温‌：将发酵液温度控制在20~40℃(最佳30℃)，以防止低温增加粘度或高温导致抗生素降解‌。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D638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‌•过滤除杂‌：使用200目滤布预过滤，去除大颗粒杂质(如培养基残渣、菌丝团块)，防止转鼓内部流道堵塞‌。</w:t>
      </w:r>
    </w:p>
    <w:p w14:paraId="2D533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FA8D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‌•调节pH值‌：根据菌体特性调整发酵液pH至等电点附近(如某些细菌等电点为pH4.5~5.0)，促进菌体凝聚，提高分离效率‌。</w:t>
      </w:r>
    </w:p>
    <w:p w14:paraId="5C903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B0A5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‌2、设备检查‌：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0755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‌•转鼓密封性‌：检查转鼓端盖密封圈是否磨损，确保密封良好，避免漏液导致转速不稳‌。</w:t>
      </w:r>
    </w:p>
    <w:p w14:paraId="6BD91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528C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‌•传动系统‌：检查皮带张紧度和轴承润滑油油位，确保传动系统正常工作‌。</w:t>
      </w:r>
    </w:p>
    <w:p w14:paraId="4D242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25898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‌•传感器校准‌：开机后空转5分钟，确认转速传感器和温度传感器显示值正常‌。</w:t>
      </w:r>
    </w:p>
    <w:p w14:paraId="6F735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186FA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‌3、进料与加速‌：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1F98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‌•低速进料‌：开启进料泵，同时将离心机转速升至2000~3000rpm，使发酵液沿转鼓内壁均匀分布，避免高速进料导致转鼓失衡‌。</w:t>
      </w:r>
    </w:p>
    <w:p w14:paraId="42C21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DCAE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‌•逐步升速‌：待进料稳定后，以500rpm/min的速率逐步提升转速至目标值。</w:t>
      </w:r>
    </w:p>
    <w:p w14:paraId="61D93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3729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‌4、运行监控‌：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91ED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‌•关键参数记录‌：监测转鼓转速、进料流量、轴承温度和振动幅度等参数，确保在正常范围内‌。</w:t>
      </w:r>
    </w:p>
    <w:p w14:paraId="1371A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5594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‌•异常处理‌：若出现异常振动或参数异常，应立即降速停机，检查并处理问题‌。</w:t>
      </w:r>
    </w:p>
    <w:p w14:paraId="4D83D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2026-05-20T11:05:35Z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