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12DB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微软雅黑" w:hAnsi="微软雅黑" w:eastAsia="微软雅黑" w:cs="微软雅黑"/>
          <w:i w:val="0"/>
          <w:iCs w:val="0"/>
          <w:caps w:val="0"/>
          <w:color w:val="C30D23"/>
          <w:spacing w:val="0"/>
          <w:sz w:val="45"/>
          <w:szCs w:val="45"/>
        </w:rPr>
      </w:pPr>
      <w:bookmarkStart w:id="0" w:name="_GoBack"/>
      <w:r>
        <w:rPr>
          <w:rFonts w:hint="eastAsia" w:ascii="微软雅黑" w:hAnsi="微软雅黑" w:eastAsia="微软雅黑" w:cs="微软雅黑"/>
          <w:i w:val="0"/>
          <w:iCs w:val="0"/>
          <w:caps w:val="0"/>
          <w:color w:val="000000" w:themeColor="text1"/>
          <w:spacing w:val="0"/>
          <w:sz w:val="45"/>
          <w:szCs w:val="45"/>
          <w:bdr w:val="none" w:color="auto" w:sz="0" w:space="0"/>
          <w14:textFill>
            <w14:solidFill>
              <w14:schemeClr w14:val="tx1"/>
            </w14:solidFill>
          </w14:textFill>
        </w:rPr>
        <w:t>飞纳电镜在石油化工中的应用</w:t>
      </w:r>
      <w:bookmarkEnd w:id="0"/>
    </w:p>
    <w:p w14:paraId="290153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随着石油资源的消耗，油气开采重点转移到了页岩油方向，高质量的压裂支撑剂可以提供更好的油气渗透率，实现油气增产。绿色低碳的发展理念也促使相关企业展开高效环保的石化催化剂、高附加值、高性能石化产品的研制。在石化产品的开采、炼制、生成过程中，扫描电子显微镜能够同时对样品进行微区形貌和成分分析，为生成工艺的改进和产品研发提供参考。</w:t>
      </w:r>
    </w:p>
    <w:p w14:paraId="70C27B8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5BA6605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463FBA7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b/>
          <w:bCs/>
          <w:i w:val="0"/>
          <w:iCs w:val="0"/>
          <w:caps w:val="0"/>
          <w:color w:val="333333"/>
          <w:spacing w:val="0"/>
          <w:sz w:val="21"/>
          <w:szCs w:val="21"/>
          <w:bdr w:val="none" w:color="auto" w:sz="0" w:space="0"/>
          <w:shd w:val="clear" w:fill="FFFFFF"/>
        </w:rPr>
        <w:t>沉积岩微观形貌和成分分析</w:t>
      </w:r>
    </w:p>
    <w:p w14:paraId="0DB92D2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沉积岩，又称水成岩，是三种组成地球岩石圈的主要岩石之一，主要包括石灰岩、砂岩、页岩等，是地壳发展演化的产物。在地球地表，有 70% 的岩石是沉积岩，但如果从地球表面到 16 公里深的整个岩石圈算，沉积岩只占 5%，但其中所含有的矿产，占全部世界矿产蕴藏量的 80%。</w:t>
      </w:r>
    </w:p>
    <w:p w14:paraId="0142D9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纹层是沉积岩中肉眼可见的最小层次结构，纹层的形成大多跟一年的季节变化有关，由沉积物物源的变化而形成。页岩纹层是控制页岩油储集层发育、石油运聚和“甜点"分布等的重要因素，通过扫描电镜可以清楚的观察纹岩层的纹理、颗粒大小及形貌。</w:t>
      </w:r>
    </w:p>
    <w:p w14:paraId="388548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5593715"/>
            <wp:effectExtent l="0" t="0" r="10160" b="698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266690" cy="5593715"/>
                    </a:xfrm>
                    <a:prstGeom prst="rect">
                      <a:avLst/>
                    </a:prstGeom>
                    <a:noFill/>
                    <a:ln w="9525">
                      <a:noFill/>
                    </a:ln>
                  </pic:spPr>
                </pic:pic>
              </a:graphicData>
            </a:graphic>
          </wp:inline>
        </w:drawing>
      </w:r>
    </w:p>
    <w:p w14:paraId="5056E3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5593715"/>
            <wp:effectExtent l="0" t="0" r="10160" b="6985"/>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5266690" cy="5593715"/>
                    </a:xfrm>
                    <a:prstGeom prst="rect">
                      <a:avLst/>
                    </a:prstGeom>
                    <a:noFill/>
                    <a:ln w="9525">
                      <a:noFill/>
                    </a:ln>
                  </pic:spPr>
                </pic:pic>
              </a:graphicData>
            </a:graphic>
          </wp:inline>
        </w:drawing>
      </w:r>
    </w:p>
    <w:p w14:paraId="1B357A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微软雅黑" w:hAnsi="微软雅黑" w:eastAsia="微软雅黑" w:cs="微软雅黑"/>
          <w:i w:val="0"/>
          <w:iCs w:val="0"/>
          <w:caps w:val="0"/>
          <w:color w:val="333333"/>
          <w:spacing w:val="0"/>
          <w:sz w:val="21"/>
          <w:szCs w:val="21"/>
        </w:rPr>
      </w:pPr>
    </w:p>
    <w:p w14:paraId="668050E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利用 SEM 能谱仪可以得到详细的沉积岩成分信息，结合细粒沉积岩成分组分、结构形态、颜色、平面上的展布规律、古生物和古植物化石等对古代湖泊沉积微环境划分，对代湖泊的沉积环境与沉积特征进行了细致解剖，可以预测生油岩与储集岩分布。</w:t>
      </w:r>
    </w:p>
    <w:p w14:paraId="3E162FE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5598795"/>
            <wp:effectExtent l="0" t="0" r="10160" b="1905"/>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5266690" cy="5598795"/>
                    </a:xfrm>
                    <a:prstGeom prst="rect">
                      <a:avLst/>
                    </a:prstGeom>
                    <a:noFill/>
                    <a:ln w="9525">
                      <a:noFill/>
                    </a:ln>
                  </pic:spPr>
                </pic:pic>
              </a:graphicData>
            </a:graphic>
          </wp:inline>
        </w:drawing>
      </w:r>
    </w:p>
    <w:p w14:paraId="03F8478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5886450"/>
            <wp:effectExtent l="0" t="0" r="10160" b="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5266690" cy="5886450"/>
                    </a:xfrm>
                    <a:prstGeom prst="rect">
                      <a:avLst/>
                    </a:prstGeom>
                    <a:noFill/>
                    <a:ln w="9525">
                      <a:noFill/>
                    </a:ln>
                  </pic:spPr>
                </pic:pic>
              </a:graphicData>
            </a:graphic>
          </wp:inline>
        </w:drawing>
      </w:r>
    </w:p>
    <w:p w14:paraId="036E284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53565A"/>
        </w:rPr>
        <w:t> </w:t>
      </w:r>
      <w:r>
        <w:rPr>
          <w:rFonts w:hint="eastAsia" w:ascii="微软雅黑" w:hAnsi="微软雅黑" w:eastAsia="微软雅黑" w:cs="微软雅黑"/>
          <w:i w:val="0"/>
          <w:iCs w:val="0"/>
          <w:caps w:val="0"/>
          <w:color w:val="F8F3F0"/>
          <w:spacing w:val="0"/>
          <w:sz w:val="21"/>
          <w:szCs w:val="21"/>
          <w:bdr w:val="none" w:color="auto" w:sz="0" w:space="0"/>
          <w:shd w:val="clear" w:fill="53565A"/>
        </w:rPr>
        <w:t>沉积岩微观形貌及 EDS 面扫分布图</w:t>
      </w:r>
      <w:r>
        <w:rPr>
          <w:rFonts w:hint="eastAsia" w:ascii="微软雅黑" w:hAnsi="微软雅黑" w:eastAsia="微软雅黑" w:cs="微软雅黑"/>
          <w:i w:val="0"/>
          <w:iCs w:val="0"/>
          <w:caps w:val="0"/>
          <w:color w:val="333333"/>
          <w:spacing w:val="0"/>
          <w:sz w:val="21"/>
          <w:szCs w:val="21"/>
          <w:bdr w:val="none" w:color="auto" w:sz="0" w:space="0"/>
          <w:shd w:val="clear" w:fill="53565A"/>
        </w:rPr>
        <w:t> </w:t>
      </w:r>
    </w:p>
    <w:p w14:paraId="31771B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3759E5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2FBA50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b/>
          <w:bCs/>
          <w:i w:val="0"/>
          <w:iCs w:val="0"/>
          <w:caps w:val="0"/>
          <w:color w:val="333333"/>
          <w:spacing w:val="0"/>
          <w:sz w:val="21"/>
          <w:szCs w:val="21"/>
          <w:bdr w:val="none" w:color="auto" w:sz="0" w:space="0"/>
          <w:shd w:val="clear" w:fill="FFFFFF"/>
        </w:rPr>
        <w:t>压裂液及支撑剂的分析研究</w:t>
      </w:r>
    </w:p>
    <w:p w14:paraId="1B71B71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压裂液是指由多种添加剂按一定配比形成的非均质不稳定的化学体系，是对油气层进行压裂改造时使用的工作液，包括常见的瓜尔胶、纤维素衍生物等等。它的主要作用是将地面设备形成的高压传递到地层中，使地层破裂形成裂缝并沿裂缝输送支撑剂。压裂液的微观结构表征对于压裂液性能的分析具有重要的指导作用。</w:t>
      </w:r>
    </w:p>
    <w:p w14:paraId="0A7B33E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但由于压裂液含有水、油等液体，不能使用扫描电镜直接观察，配备</w:t>
      </w:r>
      <w:r>
        <w:rPr>
          <w:rStyle w:val="6"/>
          <w:rFonts w:hint="eastAsia" w:ascii="微软雅黑" w:hAnsi="微软雅黑" w:eastAsia="微软雅黑" w:cs="微软雅黑"/>
          <w:b/>
          <w:bCs/>
          <w:i w:val="0"/>
          <w:iCs w:val="0"/>
          <w:caps w:val="0"/>
          <w:color w:val="333333"/>
          <w:spacing w:val="0"/>
          <w:sz w:val="21"/>
          <w:szCs w:val="21"/>
          <w:bdr w:val="none" w:color="auto" w:sz="0" w:space="0"/>
          <w:shd w:val="clear" w:fill="FFFFFF"/>
        </w:rPr>
        <w:t>温控杯</w:t>
      </w:r>
      <w:r>
        <w:rPr>
          <w:rFonts w:hint="eastAsia" w:ascii="微软雅黑" w:hAnsi="微软雅黑" w:eastAsia="微软雅黑" w:cs="微软雅黑"/>
          <w:i w:val="0"/>
          <w:iCs w:val="0"/>
          <w:caps w:val="0"/>
          <w:color w:val="333333"/>
          <w:spacing w:val="0"/>
          <w:sz w:val="21"/>
          <w:szCs w:val="21"/>
          <w:bdr w:val="none" w:color="auto" w:sz="0" w:space="0"/>
          <w:shd w:val="clear" w:fill="FFFFFF"/>
        </w:rPr>
        <w:t>的飞纳电镜，可以对样品快速冷冻后，观察到更真实的压裂液形貌。如下述案例中所示，是利用飞纳电镜温控杯观察到的压裂液凝胶升华的动态过程。同时，通过孔径分析软件可以对压裂液微观孔洞尺寸及分布进行统计，并生成报告。</w:t>
      </w:r>
    </w:p>
    <w:p w14:paraId="0BAC7D0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7052509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70500" cy="2783840"/>
            <wp:effectExtent l="0" t="0" r="6350" b="16510"/>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5270500" cy="2783840"/>
                    </a:xfrm>
                    <a:prstGeom prst="rect">
                      <a:avLst/>
                    </a:prstGeom>
                    <a:noFill/>
                    <a:ln w="9525">
                      <a:noFill/>
                    </a:ln>
                  </pic:spPr>
                </pic:pic>
              </a:graphicData>
            </a:graphic>
          </wp:inline>
        </w:drawing>
      </w:r>
    </w:p>
    <w:p w14:paraId="5939B3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53565A"/>
        </w:rPr>
        <w:t> </w:t>
      </w:r>
      <w:r>
        <w:rPr>
          <w:rFonts w:hint="eastAsia" w:ascii="微软雅黑" w:hAnsi="微软雅黑" w:eastAsia="微软雅黑" w:cs="微软雅黑"/>
          <w:i w:val="0"/>
          <w:iCs w:val="0"/>
          <w:caps w:val="0"/>
          <w:color w:val="333333"/>
          <w:spacing w:val="0"/>
          <w:sz w:val="21"/>
          <w:szCs w:val="21"/>
          <w:bdr w:val="none" w:color="auto" w:sz="0" w:space="0"/>
          <w:shd w:val="clear" w:fill="FFFFFF"/>
        </w:rPr>
        <w:t>不同升华条件下压裂液胶体的 SEM 形貌 </w:t>
      </w:r>
    </w:p>
    <w:p w14:paraId="5F9AB6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4048125" cy="4305300"/>
            <wp:effectExtent l="0" t="0" r="9525" b="0"/>
            <wp:docPr id="1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61"/>
                    <pic:cNvPicPr>
                      <a:picLocks noChangeAspect="1"/>
                    </pic:cNvPicPr>
                  </pic:nvPicPr>
                  <pic:blipFill>
                    <a:blip r:embed="rId9"/>
                    <a:stretch>
                      <a:fillRect/>
                    </a:stretch>
                  </pic:blipFill>
                  <pic:spPr>
                    <a:xfrm>
                      <a:off x="0" y="0"/>
                      <a:ext cx="4048125" cy="4305300"/>
                    </a:xfrm>
                    <a:prstGeom prst="rect">
                      <a:avLst/>
                    </a:prstGeom>
                    <a:noFill/>
                    <a:ln w="9525">
                      <a:noFill/>
                    </a:ln>
                  </pic:spPr>
                </pic:pic>
              </a:graphicData>
            </a:graphic>
          </wp:inline>
        </w:drawing>
      </w:r>
    </w:p>
    <w:p w14:paraId="1CD119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8595" cy="3506470"/>
            <wp:effectExtent l="0" t="0" r="8255" b="17780"/>
            <wp:docPr id="1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IMG_262"/>
                    <pic:cNvPicPr>
                      <a:picLocks noChangeAspect="1"/>
                    </pic:cNvPicPr>
                  </pic:nvPicPr>
                  <pic:blipFill>
                    <a:blip r:embed="rId10"/>
                    <a:stretch>
                      <a:fillRect/>
                    </a:stretch>
                  </pic:blipFill>
                  <pic:spPr>
                    <a:xfrm>
                      <a:off x="0" y="0"/>
                      <a:ext cx="5268595" cy="3506470"/>
                    </a:xfrm>
                    <a:prstGeom prst="rect">
                      <a:avLst/>
                    </a:prstGeom>
                    <a:noFill/>
                    <a:ln w="9525">
                      <a:noFill/>
                    </a:ln>
                  </pic:spPr>
                </pic:pic>
              </a:graphicData>
            </a:graphic>
          </wp:inline>
        </w:drawing>
      </w:r>
    </w:p>
    <w:p w14:paraId="63C1370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53565A"/>
        </w:rPr>
        <w:t> </w:t>
      </w:r>
      <w:r>
        <w:rPr>
          <w:rFonts w:hint="eastAsia" w:ascii="微软雅黑" w:hAnsi="微软雅黑" w:eastAsia="微软雅黑" w:cs="微软雅黑"/>
          <w:i w:val="0"/>
          <w:iCs w:val="0"/>
          <w:caps w:val="0"/>
          <w:color w:val="F8F3F0"/>
          <w:spacing w:val="0"/>
          <w:sz w:val="21"/>
          <w:szCs w:val="21"/>
          <w:bdr w:val="none" w:color="auto" w:sz="0" w:space="0"/>
          <w:shd w:val="clear" w:fill="53565A"/>
        </w:rPr>
        <w:t>压裂液微观孔径分析</w:t>
      </w:r>
      <w:r>
        <w:rPr>
          <w:rFonts w:hint="eastAsia" w:ascii="微软雅黑" w:hAnsi="微软雅黑" w:eastAsia="微软雅黑" w:cs="微软雅黑"/>
          <w:i w:val="0"/>
          <w:iCs w:val="0"/>
          <w:caps w:val="0"/>
          <w:color w:val="333333"/>
          <w:spacing w:val="0"/>
          <w:sz w:val="21"/>
          <w:szCs w:val="21"/>
          <w:bdr w:val="none" w:color="auto" w:sz="0" w:space="0"/>
          <w:shd w:val="clear" w:fill="53565A"/>
        </w:rPr>
        <w:t> </w:t>
      </w:r>
    </w:p>
    <w:p w14:paraId="57468B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5778AD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05E271B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油层水力压裂的过程是在地面采用高压大排量的泵，利用液体传压的原理，将具有一定粘度的液体（通常称之为压裂液），以大于油层吸收能力的压力向油层注入，并使井筒内压力逐渐升高，从而在井底憋起高压，当此压力大于井壁附近的地应力和地层岩石的抗张强度时，便在井底附近地层产生裂缝：继续注入带有支撑剂的携砂液，裂缝向前延伸并填以支撑剂，关井后裂缝闭合在支撑剂上，从而在井底附近地层内形成具有一定几何尺寸和高导流能力的填砂裂缝，使油井达到增产增注的目的。高强度、低密度、粒径均匀、球形度好的支撑剂可以使填充后的裂缝有更好的渗透性，常用的支撑剂有石英砂，陶粒等，利用扫描电子显微镜可以对支撑剂的形貌、尺寸进行精确的观察，并且结合 Phenom Particle Metric 颗粒统计系统可以快速的对支撑剂的粒径、圆度进行分析。</w:t>
      </w:r>
    </w:p>
    <w:p w14:paraId="6C626C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72405" cy="5605145"/>
            <wp:effectExtent l="0" t="0" r="4445" b="14605"/>
            <wp:docPr id="10"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11"/>
                    <a:stretch>
                      <a:fillRect/>
                    </a:stretch>
                  </pic:blipFill>
                  <pic:spPr>
                    <a:xfrm>
                      <a:off x="0" y="0"/>
                      <a:ext cx="5272405" cy="5605145"/>
                    </a:xfrm>
                    <a:prstGeom prst="rect">
                      <a:avLst/>
                    </a:prstGeom>
                    <a:noFill/>
                    <a:ln w="9525">
                      <a:noFill/>
                    </a:ln>
                  </pic:spPr>
                </pic:pic>
              </a:graphicData>
            </a:graphic>
          </wp:inline>
        </w:drawing>
      </w:r>
    </w:p>
    <w:p w14:paraId="6C57AB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72405" cy="5605145"/>
            <wp:effectExtent l="0" t="0" r="4445" b="14605"/>
            <wp:docPr id="1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IMG_264"/>
                    <pic:cNvPicPr>
                      <a:picLocks noChangeAspect="1"/>
                    </pic:cNvPicPr>
                  </pic:nvPicPr>
                  <pic:blipFill>
                    <a:blip r:embed="rId12"/>
                    <a:stretch>
                      <a:fillRect/>
                    </a:stretch>
                  </pic:blipFill>
                  <pic:spPr>
                    <a:xfrm>
                      <a:off x="0" y="0"/>
                      <a:ext cx="5272405" cy="5605145"/>
                    </a:xfrm>
                    <a:prstGeom prst="rect">
                      <a:avLst/>
                    </a:prstGeom>
                    <a:noFill/>
                    <a:ln w="9525">
                      <a:noFill/>
                    </a:ln>
                  </pic:spPr>
                </pic:pic>
              </a:graphicData>
            </a:graphic>
          </wp:inline>
        </w:drawing>
      </w:r>
    </w:p>
    <w:p w14:paraId="7DD70F8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72405" cy="5609590"/>
            <wp:effectExtent l="0" t="0" r="4445" b="10160"/>
            <wp:docPr id="8"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IMG_265"/>
                    <pic:cNvPicPr>
                      <a:picLocks noChangeAspect="1"/>
                    </pic:cNvPicPr>
                  </pic:nvPicPr>
                  <pic:blipFill>
                    <a:blip r:embed="rId13"/>
                    <a:stretch>
                      <a:fillRect/>
                    </a:stretch>
                  </pic:blipFill>
                  <pic:spPr>
                    <a:xfrm>
                      <a:off x="0" y="0"/>
                      <a:ext cx="5272405" cy="5609590"/>
                    </a:xfrm>
                    <a:prstGeom prst="rect">
                      <a:avLst/>
                    </a:prstGeom>
                    <a:noFill/>
                    <a:ln w="9525">
                      <a:noFill/>
                    </a:ln>
                  </pic:spPr>
                </pic:pic>
              </a:graphicData>
            </a:graphic>
          </wp:inline>
        </w:drawing>
      </w:r>
    </w:p>
    <w:p w14:paraId="47995D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72405" cy="5609590"/>
            <wp:effectExtent l="0" t="0" r="4445" b="10160"/>
            <wp:docPr id="9"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IMG_266"/>
                    <pic:cNvPicPr>
                      <a:picLocks noChangeAspect="1"/>
                    </pic:cNvPicPr>
                  </pic:nvPicPr>
                  <pic:blipFill>
                    <a:blip r:embed="rId14"/>
                    <a:stretch>
                      <a:fillRect/>
                    </a:stretch>
                  </pic:blipFill>
                  <pic:spPr>
                    <a:xfrm>
                      <a:off x="0" y="0"/>
                      <a:ext cx="5272405" cy="5609590"/>
                    </a:xfrm>
                    <a:prstGeom prst="rect">
                      <a:avLst/>
                    </a:prstGeom>
                    <a:noFill/>
                    <a:ln w="9525">
                      <a:noFill/>
                    </a:ln>
                  </pic:spPr>
                </pic:pic>
              </a:graphicData>
            </a:graphic>
          </wp:inline>
        </w:drawing>
      </w:r>
    </w:p>
    <w:p w14:paraId="3FC5CC9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7960" cy="5591810"/>
            <wp:effectExtent l="0" t="0" r="8890" b="8890"/>
            <wp:docPr id="1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67"/>
                    <pic:cNvPicPr>
                      <a:picLocks noChangeAspect="1"/>
                    </pic:cNvPicPr>
                  </pic:nvPicPr>
                  <pic:blipFill>
                    <a:blip r:embed="rId15"/>
                    <a:stretch>
                      <a:fillRect/>
                    </a:stretch>
                  </pic:blipFill>
                  <pic:spPr>
                    <a:xfrm>
                      <a:off x="0" y="0"/>
                      <a:ext cx="5267960" cy="5591810"/>
                    </a:xfrm>
                    <a:prstGeom prst="rect">
                      <a:avLst/>
                    </a:prstGeom>
                    <a:noFill/>
                    <a:ln w="9525">
                      <a:noFill/>
                    </a:ln>
                  </pic:spPr>
                </pic:pic>
              </a:graphicData>
            </a:graphic>
          </wp:inline>
        </w:drawing>
      </w:r>
    </w:p>
    <w:p w14:paraId="71B811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7960" cy="5591810"/>
            <wp:effectExtent l="0" t="0" r="8890" b="8890"/>
            <wp:docPr id="18"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descr="IMG_268"/>
                    <pic:cNvPicPr>
                      <a:picLocks noChangeAspect="1"/>
                    </pic:cNvPicPr>
                  </pic:nvPicPr>
                  <pic:blipFill>
                    <a:blip r:embed="rId16"/>
                    <a:stretch>
                      <a:fillRect/>
                    </a:stretch>
                  </pic:blipFill>
                  <pic:spPr>
                    <a:xfrm>
                      <a:off x="0" y="0"/>
                      <a:ext cx="5267960" cy="5591810"/>
                    </a:xfrm>
                    <a:prstGeom prst="rect">
                      <a:avLst/>
                    </a:prstGeom>
                    <a:noFill/>
                    <a:ln w="9525">
                      <a:noFill/>
                    </a:ln>
                  </pic:spPr>
                </pic:pic>
              </a:graphicData>
            </a:graphic>
          </wp:inline>
        </w:drawing>
      </w:r>
    </w:p>
    <w:p w14:paraId="26B2646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53565A"/>
        </w:rPr>
        <w:t> </w:t>
      </w:r>
      <w:r>
        <w:rPr>
          <w:rFonts w:hint="eastAsia" w:ascii="微软雅黑" w:hAnsi="微软雅黑" w:eastAsia="微软雅黑" w:cs="微软雅黑"/>
          <w:i w:val="0"/>
          <w:iCs w:val="0"/>
          <w:caps w:val="0"/>
          <w:color w:val="F8F3F0"/>
          <w:spacing w:val="0"/>
          <w:sz w:val="21"/>
          <w:szCs w:val="21"/>
          <w:bdr w:val="none" w:color="auto" w:sz="0" w:space="0"/>
          <w:shd w:val="clear" w:fill="53565A"/>
        </w:rPr>
        <w:t>陶瓷支撑剂 SEM 形貌分析</w:t>
      </w:r>
      <w:r>
        <w:rPr>
          <w:rFonts w:hint="eastAsia" w:ascii="微软雅黑" w:hAnsi="微软雅黑" w:eastAsia="微软雅黑" w:cs="微软雅黑"/>
          <w:i w:val="0"/>
          <w:iCs w:val="0"/>
          <w:caps w:val="0"/>
          <w:color w:val="333333"/>
          <w:spacing w:val="0"/>
          <w:sz w:val="21"/>
          <w:szCs w:val="21"/>
          <w:bdr w:val="none" w:color="auto" w:sz="0" w:space="0"/>
          <w:shd w:val="clear" w:fill="53565A"/>
        </w:rPr>
        <w:t> </w:t>
      </w:r>
    </w:p>
    <w:p w14:paraId="4B98B1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2399665"/>
            <wp:effectExtent l="0" t="0" r="10160" b="635"/>
            <wp:docPr id="1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descr="IMG_269"/>
                    <pic:cNvPicPr>
                      <a:picLocks noChangeAspect="1"/>
                    </pic:cNvPicPr>
                  </pic:nvPicPr>
                  <pic:blipFill>
                    <a:blip r:embed="rId17"/>
                    <a:stretch>
                      <a:fillRect/>
                    </a:stretch>
                  </pic:blipFill>
                  <pic:spPr>
                    <a:xfrm>
                      <a:off x="0" y="0"/>
                      <a:ext cx="5266690" cy="2399665"/>
                    </a:xfrm>
                    <a:prstGeom prst="rect">
                      <a:avLst/>
                    </a:prstGeom>
                    <a:noFill/>
                    <a:ln w="9525">
                      <a:noFill/>
                    </a:ln>
                  </pic:spPr>
                </pic:pic>
              </a:graphicData>
            </a:graphic>
          </wp:inline>
        </w:drawing>
      </w:r>
    </w:p>
    <w:p w14:paraId="699831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支撑剂全自动颗粒统计系统</w:t>
      </w:r>
    </w:p>
    <w:p w14:paraId="417BD0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4ADB5DD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28FF12E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b/>
          <w:bCs/>
          <w:i w:val="0"/>
          <w:iCs w:val="0"/>
          <w:caps w:val="0"/>
          <w:color w:val="333333"/>
          <w:spacing w:val="0"/>
          <w:sz w:val="21"/>
          <w:szCs w:val="21"/>
          <w:bdr w:val="none" w:color="auto" w:sz="0" w:space="0"/>
          <w:shd w:val="clear" w:fill="FFFFFF"/>
        </w:rPr>
        <w:t>石化催化剂的分析研究</w:t>
      </w:r>
    </w:p>
    <w:p w14:paraId="0440ED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石油的主要成分是烷烃，化学性质十分稳定，没有什么化学活性，除了燃烧外几乎没有其他作用。催化裂解是剪断石油长链分子的过程，同时还能生成不饱和烃和芳香烃，是石油化工的基石。因此，裂化可以说是从原油到化工产品的一环，而在这个过程中，催化剂扮演着重要的角色。利用扫描电镜可以检测催化剂的表面和断面的形貌，结合能谱可以对微区的成分进行定性半定量的分析，给催化剂的研发和性能评定提供依据。</w:t>
      </w:r>
    </w:p>
    <w:p w14:paraId="34B4358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5596255"/>
            <wp:effectExtent l="0" t="0" r="10160" b="4445"/>
            <wp:docPr id="14"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 descr="IMG_270"/>
                    <pic:cNvPicPr>
                      <a:picLocks noChangeAspect="1"/>
                    </pic:cNvPicPr>
                  </pic:nvPicPr>
                  <pic:blipFill>
                    <a:blip r:embed="rId18"/>
                    <a:stretch>
                      <a:fillRect/>
                    </a:stretch>
                  </pic:blipFill>
                  <pic:spPr>
                    <a:xfrm>
                      <a:off x="0" y="0"/>
                      <a:ext cx="5266690" cy="5596255"/>
                    </a:xfrm>
                    <a:prstGeom prst="rect">
                      <a:avLst/>
                    </a:prstGeom>
                    <a:noFill/>
                    <a:ln w="9525">
                      <a:noFill/>
                    </a:ln>
                  </pic:spPr>
                </pic:pic>
              </a:graphicData>
            </a:graphic>
          </wp:inline>
        </w:drawing>
      </w:r>
    </w:p>
    <w:p w14:paraId="73B024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5596255"/>
            <wp:effectExtent l="0" t="0" r="10160" b="4445"/>
            <wp:docPr id="19"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descr="IMG_271"/>
                    <pic:cNvPicPr>
                      <a:picLocks noChangeAspect="1"/>
                    </pic:cNvPicPr>
                  </pic:nvPicPr>
                  <pic:blipFill>
                    <a:blip r:embed="rId19"/>
                    <a:stretch>
                      <a:fillRect/>
                    </a:stretch>
                  </pic:blipFill>
                  <pic:spPr>
                    <a:xfrm>
                      <a:off x="0" y="0"/>
                      <a:ext cx="5266690" cy="5596255"/>
                    </a:xfrm>
                    <a:prstGeom prst="rect">
                      <a:avLst/>
                    </a:prstGeom>
                    <a:noFill/>
                    <a:ln w="9525">
                      <a:noFill/>
                    </a:ln>
                  </pic:spPr>
                </pic:pic>
              </a:graphicData>
            </a:graphic>
          </wp:inline>
        </w:drawing>
      </w:r>
    </w:p>
    <w:p w14:paraId="1990AA2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53565A"/>
        </w:rPr>
        <w:t> </w:t>
      </w:r>
      <w:r>
        <w:rPr>
          <w:rFonts w:hint="eastAsia" w:ascii="微软雅黑" w:hAnsi="微软雅黑" w:eastAsia="微软雅黑" w:cs="微软雅黑"/>
          <w:i w:val="0"/>
          <w:iCs w:val="0"/>
          <w:caps w:val="0"/>
          <w:color w:val="F8F3F0"/>
          <w:spacing w:val="0"/>
          <w:sz w:val="21"/>
          <w:szCs w:val="21"/>
          <w:bdr w:val="none" w:color="auto" w:sz="0" w:space="0"/>
          <w:shd w:val="clear" w:fill="53565A"/>
        </w:rPr>
        <w:t>扫描电镜下的催化剂晶体颗粒</w:t>
      </w:r>
      <w:r>
        <w:rPr>
          <w:rFonts w:hint="eastAsia" w:ascii="微软雅黑" w:hAnsi="微软雅黑" w:eastAsia="微软雅黑" w:cs="微软雅黑"/>
          <w:i w:val="0"/>
          <w:iCs w:val="0"/>
          <w:caps w:val="0"/>
          <w:color w:val="333333"/>
          <w:spacing w:val="0"/>
          <w:sz w:val="21"/>
          <w:szCs w:val="21"/>
          <w:bdr w:val="none" w:color="auto" w:sz="0" w:space="0"/>
          <w:shd w:val="clear" w:fill="53565A"/>
        </w:rPr>
        <w:t> </w:t>
      </w:r>
    </w:p>
    <w:p w14:paraId="78D5EA6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2807EA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28918F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b/>
          <w:bCs/>
          <w:i w:val="0"/>
          <w:iCs w:val="0"/>
          <w:caps w:val="0"/>
          <w:color w:val="333333"/>
          <w:spacing w:val="0"/>
          <w:sz w:val="21"/>
          <w:szCs w:val="21"/>
          <w:bdr w:val="none" w:color="auto" w:sz="0" w:space="0"/>
          <w:shd w:val="clear" w:fill="FFFFFF"/>
        </w:rPr>
        <w:t>石化产品的分析研究</w:t>
      </w:r>
    </w:p>
    <w:p w14:paraId="3A91F6B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以石油或石油气为原料生产出的产品称之为石油化工产品。石油化工产品多达数千种,其中最重要的有六大基础原料（乙烯、丙烯、丁烯、苯、甲苯、二甲苯）,三大合成材料（塑料、合成纤维、合成橡胶）,基本有机原料（醇、醛、酸、酐、酯、醚、胺、腈、酚、酮）以及氮肥。在各种石油化工产品如塑料、合成纤维等的生成研发过程中，扫描电镜微区显微分析和成分分析的功能均有广泛的用途。如下述案例中，图 1、2 分别为在不喷金情况下直接对不定岛超纤和定岛超纤的 SEM 观察，可以发现定岛超纤岛数固定、均匀且规则，不定岛超纤岛数不固定、纤度有差异且总体纤维更细。</w:t>
      </w:r>
    </w:p>
    <w:p w14:paraId="0F38C03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6690" cy="3491865"/>
            <wp:effectExtent l="0" t="0" r="10160" b="13335"/>
            <wp:docPr id="1"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descr="IMG_272"/>
                    <pic:cNvPicPr>
                      <a:picLocks noChangeAspect="1"/>
                    </pic:cNvPicPr>
                  </pic:nvPicPr>
                  <pic:blipFill>
                    <a:blip r:embed="rId20"/>
                    <a:stretch>
                      <a:fillRect/>
                    </a:stretch>
                  </pic:blipFill>
                  <pic:spPr>
                    <a:xfrm>
                      <a:off x="0" y="0"/>
                      <a:ext cx="5266690" cy="3491865"/>
                    </a:xfrm>
                    <a:prstGeom prst="rect">
                      <a:avLst/>
                    </a:prstGeom>
                    <a:noFill/>
                    <a:ln w="9525">
                      <a:noFill/>
                    </a:ln>
                  </pic:spPr>
                </pic:pic>
              </a:graphicData>
            </a:graphic>
          </wp:inline>
        </w:drawing>
      </w:r>
    </w:p>
    <w:p w14:paraId="1145BB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p>
    <w:p w14:paraId="7DB982E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265420" cy="5600700"/>
            <wp:effectExtent l="0" t="0" r="11430" b="0"/>
            <wp:docPr id="2"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IMG_273"/>
                    <pic:cNvPicPr>
                      <a:picLocks noChangeAspect="1"/>
                    </pic:cNvPicPr>
                  </pic:nvPicPr>
                  <pic:blipFill>
                    <a:blip r:embed="rId21"/>
                    <a:stretch>
                      <a:fillRect/>
                    </a:stretch>
                  </pic:blipFill>
                  <pic:spPr>
                    <a:xfrm>
                      <a:off x="0" y="0"/>
                      <a:ext cx="5265420" cy="5600700"/>
                    </a:xfrm>
                    <a:prstGeom prst="rect">
                      <a:avLst/>
                    </a:prstGeom>
                    <a:noFill/>
                    <a:ln w="9525">
                      <a:noFill/>
                    </a:ln>
                  </pic:spPr>
                </pic:pic>
              </a:graphicData>
            </a:graphic>
          </wp:inline>
        </w:drawing>
      </w:r>
    </w:p>
    <w:p w14:paraId="1E49C4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图 3 所示为一种工程塑料的异常分析结果，在背散射模式下可以看到该处存在明显的成分异常区域，对该区域进行 EDS 面扫分析发现异常区域为氧化铁颗粒形成的异物。</w:t>
      </w:r>
    </w:p>
    <w:p w14:paraId="16AAB2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0" w:lineRule="atLeast"/>
        <w:ind w:left="0" w:right="0" w:firstLine="0"/>
        <w:jc w:val="both"/>
        <w:textAlignment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3914775" cy="3981450"/>
            <wp:effectExtent l="0" t="0" r="9525" b="0"/>
            <wp:docPr id="13"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9" descr="IMG_274"/>
                    <pic:cNvPicPr>
                      <a:picLocks noChangeAspect="1"/>
                    </pic:cNvPicPr>
                  </pic:nvPicPr>
                  <pic:blipFill>
                    <a:blip r:embed="rId22"/>
                    <a:stretch>
                      <a:fillRect/>
                    </a:stretch>
                  </pic:blipFill>
                  <pic:spPr>
                    <a:xfrm>
                      <a:off x="0" y="0"/>
                      <a:ext cx="3914775" cy="3981450"/>
                    </a:xfrm>
                    <a:prstGeom prst="rect">
                      <a:avLst/>
                    </a:prstGeom>
                    <a:noFill/>
                    <a:ln w="9525">
                      <a:noFill/>
                    </a:ln>
                  </pic:spPr>
                </pic:pic>
              </a:graphicData>
            </a:graphic>
          </wp:inline>
        </w:drawing>
      </w:r>
    </w:p>
    <w:p w14:paraId="2820457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 图3. 塑料 EDS 面扫图 </w:t>
      </w:r>
    </w:p>
    <w:p w14:paraId="3A22CE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240" w:right="240" w:firstLine="0"/>
        <w:jc w:val="both"/>
        <w:rPr>
          <w:rFonts w:hint="eastAsia" w:ascii="微软雅黑" w:hAnsi="微软雅黑" w:eastAsia="微软雅黑" w:cs="微软雅黑"/>
          <w:i w:val="0"/>
          <w:iCs w:val="0"/>
          <w:caps w:val="0"/>
          <w:color w:val="333333"/>
          <w:spacing w:val="0"/>
          <w:sz w:val="21"/>
          <w:szCs w:val="21"/>
        </w:rPr>
      </w:pPr>
      <w:r>
        <w:rPr>
          <w:rFonts w:ascii="PingFangSC-light" w:hAnsi="PingFangSC-light" w:eastAsia="PingFangSC-light" w:cs="PingFangSC-light"/>
          <w:i w:val="0"/>
          <w:iCs w:val="0"/>
          <w:caps w:val="0"/>
          <w:color w:val="333333"/>
          <w:spacing w:val="30"/>
          <w:sz w:val="21"/>
          <w:szCs w:val="21"/>
          <w:bdr w:val="none" w:color="auto" w:sz="0" w:space="0"/>
          <w:shd w:val="clear" w:fill="FFFFFF"/>
        </w:rPr>
        <w:t>石油化工产业是国家的重要支柱产业，从石化原料的开采、炼制到石化产品的生成加工，每一步都与国防、国民经济和人民生活息息相关。国家发展改革委、国家能源局印发的《“十四五"现代能源体系规划》提出，将加大国内油气勘探开发，坚持常非并举、海陆并重，强化重点盆地和海域油气基础地质调查和勘探，夯实资源接续基础。加快推进储量动用，抓好已开发油田“控递减"和“提高采收率"，推动老油气田稳产，加大新区产能建设力度，保障持续稳产增产。积极扩大非常规资源勘探开发，加快页岩油、页岩气、煤层气开发力度。</w:t>
      </w:r>
    </w:p>
    <w:p w14:paraId="53D63F7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b/>
          <w:bCs/>
          <w:i w:val="0"/>
          <w:iCs w:val="0"/>
          <w:caps w:val="0"/>
          <w:color w:val="333333"/>
          <w:spacing w:val="0"/>
          <w:sz w:val="21"/>
          <w:szCs w:val="21"/>
          <w:bdr w:val="none" w:color="auto" w:sz="0" w:space="0"/>
          <w:shd w:val="clear" w:fill="FFFFFF"/>
        </w:rPr>
        <w:t>参考文献</w:t>
      </w:r>
    </w:p>
    <w:p w14:paraId="7FD38B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shd w:val="clear" w:fill="FFFFFF"/>
        </w:rPr>
        <w:t>“</w:t>
      </w:r>
    </w:p>
    <w:p w14:paraId="34E3B76D">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14:paraId="4AC41E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iCs w:val="0"/>
          <w:caps w:val="0"/>
          <w:color w:val="333333"/>
          <w:spacing w:val="0"/>
          <w:sz w:val="21"/>
          <w:szCs w:val="21"/>
          <w:bdr w:val="none" w:color="auto" w:sz="0" w:space="0"/>
          <w:shd w:val="clear" w:fill="FFFFFF"/>
        </w:rPr>
        <w:t>李永良,翟秋敏,李容全.安古里淖沉积纹层的扫描电镜研究[J].电子显微学报, 2001(04):387-388.</w:t>
      </w:r>
    </w:p>
    <w:p w14:paraId="2130DBEA">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14:paraId="60A7A693">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14:paraId="2AA852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iCs w:val="0"/>
          <w:caps w:val="0"/>
          <w:color w:val="333333"/>
          <w:spacing w:val="0"/>
          <w:sz w:val="21"/>
          <w:szCs w:val="21"/>
          <w:bdr w:val="none" w:color="auto" w:sz="0" w:space="0"/>
          <w:shd w:val="clear" w:fill="FFFFFF"/>
        </w:rPr>
        <w:t>葸克来,李克,操应长,林敉若,牛小兵,朱如凯,魏心卓,尤源,梁晓伟,冯胜斌.鄂尔多斯盆地三叠系延长组长7_3亚段富有机质页岩纹层组合与页岩油富集模式[J].石油勘探与开发,2020,47(06):1244-1255.</w:t>
      </w:r>
    </w:p>
    <w:p w14:paraId="2BE9FEF5">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14:paraId="5AB48029">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14:paraId="3FD708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iCs w:val="0"/>
          <w:caps w:val="0"/>
          <w:color w:val="333333"/>
          <w:spacing w:val="0"/>
          <w:sz w:val="21"/>
          <w:szCs w:val="21"/>
          <w:bdr w:val="none" w:color="auto" w:sz="0" w:space="0"/>
          <w:shd w:val="clear" w:fill="FFFFFF"/>
        </w:rPr>
        <w:t>钟大康,朱筱敏,王贵文,谢庆宾.塔里木盆地喀什凹陷侏罗纪古环境[J].古地理学报,2002(04):47-54.</w:t>
      </w:r>
    </w:p>
    <w:p w14:paraId="4B747DE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14:paraId="5756B2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both"/>
      </w:pPr>
      <w:r>
        <w:rPr>
          <w:rFonts w:hint="eastAsia" w:ascii="微软雅黑" w:hAnsi="微软雅黑" w:eastAsia="微软雅黑" w:cs="微软雅黑"/>
          <w:i w:val="0"/>
          <w:iCs w:val="0"/>
          <w:caps w:val="0"/>
          <w:color w:val="333333"/>
          <w:spacing w:val="0"/>
          <w:sz w:val="21"/>
          <w:szCs w:val="21"/>
          <w:bdr w:val="none" w:color="auto" w:sz="0" w:space="0"/>
          <w:shd w:val="clear" w:fill="FFFFFF"/>
        </w:rPr>
        <w:t>如果您想了解更多产品详情、应用案例或付费测试服务，欢迎咨询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PingFangSC-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14E417"/>
    <w:multiLevelType w:val="multilevel"/>
    <w:tmpl w:val="E014E417"/>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E80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13</Words>
  <Characters>13</Characters>
  <Lines>0</Lines>
  <Paragraphs>0</Paragraphs>
  <TotalTime>0</TotalTime>
  <ScaleCrop>false</ScaleCrop>
  <LinksUpToDate>false</LinksUpToDate>
  <CharactersWithSpaces>13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2025-12-30T03:45:33Z</dcterms:created>
  <dc:creator>Mt</dc:creator>
  <cp:lastModifiedBy>制药网阳阳</cp:lastModifiedBy>
  <dcterms:modified xsi:type="dcterms:W3CDTF">2025-12-30T03:46:13Z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83E2376EED304587968B98E9F58E4517_12</vt:lpwstr>
  </property>
</Properties>
</file>